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风雨百年路，共铸新辉煌</w:t>
      </w: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  <w:t>”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val="en-US" w:eastAsia="zh-CN"/>
        </w:rPr>
        <w:t>--</w:t>
      </w: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庆祝建党百年</w:t>
      </w: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  <w:t>短视频征集活动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为热烈庆祝中国共产党成立100周年，深入学习贯彻习近平新时代中国特色社会主义思想，聆听时代声音、紧握时代脉搏、坚定文化自信，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歌颂美好时代，记录美丽生活，展现</w:t>
      </w:r>
      <w:r>
        <w:rPr>
          <w:rFonts w:hint="eastAsia" w:ascii="仿宋" w:hAnsi="仿宋" w:eastAsia="仿宋" w:cs="Times New Roman"/>
          <w:bCs/>
          <w:sz w:val="32"/>
          <w:szCs w:val="32"/>
        </w:rPr>
        <w:t>和记录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三秦人民投身新时代中国特色社会主义建设的伟大实践，陕西公共图书馆服务联盟面向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全省开展“风雨百年路，共铸新辉煌”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--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庆祝建党百年短视频征集活动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b/>
          <w:sz w:val="32"/>
          <w:szCs w:val="32"/>
        </w:rPr>
        <w:t>、活动时间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征集时间：4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Times New Roman"/>
          <w:bCs/>
          <w:sz w:val="32"/>
          <w:szCs w:val="32"/>
        </w:rPr>
        <w:t>-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Times New Roman"/>
          <w:bCs/>
          <w:sz w:val="32"/>
          <w:szCs w:val="32"/>
        </w:rPr>
        <w:t>30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日</w:t>
      </w:r>
    </w:p>
    <w:p>
      <w:pPr>
        <w:spacing w:line="360" w:lineRule="auto"/>
        <w:ind w:firstLine="640" w:firstLineChars="20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评选时间：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7月1日-7月15日</w:t>
      </w: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b/>
          <w:sz w:val="32"/>
          <w:szCs w:val="32"/>
        </w:rPr>
        <w:t>、征集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短视频的内容需</w:t>
      </w:r>
      <w:r>
        <w:rPr>
          <w:rFonts w:hint="eastAsia" w:ascii="仿宋" w:hAnsi="仿宋" w:eastAsia="仿宋" w:cs="Times New Roman"/>
          <w:bCs/>
          <w:sz w:val="32"/>
          <w:szCs w:val="32"/>
        </w:rPr>
        <w:t>弘扬主旋律、传播正能量。拥护党的领导，拥护社会主义，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弘扬</w:t>
      </w:r>
      <w:r>
        <w:rPr>
          <w:rFonts w:hint="eastAsia" w:ascii="仿宋" w:hAnsi="仿宋" w:eastAsia="仿宋" w:cs="Times New Roman"/>
          <w:bCs/>
          <w:sz w:val="32"/>
          <w:szCs w:val="32"/>
        </w:rPr>
        <w:t>社会主义核心价值观，突出思想性和艺术性。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建议但不限于以下六条创作思路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推荐红色文献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2.朗诵红色诗歌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3.演唱红色歌曲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4.讲述动人故事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5.红色书画创作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6.展示红色老物件</w:t>
      </w: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三、征集要求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bCs/>
          <w:sz w:val="32"/>
          <w:szCs w:val="32"/>
        </w:rPr>
        <w:t>可增加背景音乐、字幕、贴纸、特效等，但不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Times New Roman"/>
          <w:bCs/>
          <w:sz w:val="32"/>
          <w:szCs w:val="32"/>
        </w:rPr>
        <w:t>带有视频平台水印。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32"/>
          <w:szCs w:val="32"/>
        </w:rPr>
        <w:t>.时长30秒—5分钟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1分钟之内的视频建议竖版拍摄（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比例9:16）；1—5分钟视频建议横版拍摄（比例16:9）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投稿者应対作品拥有完整的著作权，并保证其所投送的作品不侵犯第三人的包括著作权、肖像权、名誉权、隐私权等在内的合法权益。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视频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作品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和作品信息表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发送至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instrText xml:space="preserve"> HYPERLINK "mailto:stydtgb@163.com" </w:instrTex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fldChar w:fldCharType="separate"/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stydtgb@163.com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fldChar w:fldCharType="end"/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，邮件标题注明“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建党百年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”字样</w:t>
      </w:r>
      <w:r>
        <w:rPr>
          <w:rFonts w:ascii="仿宋" w:hAnsi="仿宋" w:eastAsia="仿宋" w:cs="Times New Roman"/>
          <w:sz w:val="32"/>
          <w:szCs w:val="32"/>
          <w:u w:val="none"/>
          <w:shd w:val="clear" w:color="auto" w:fill="FFFFFF"/>
        </w:rPr>
        <w:t>（各成员馆将投稿邮箱改为本馆邮箱，征集截止后，将收集到的作品整理、打包发送至主任委员馆邮箱）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Times New Roman"/>
          <w:b/>
          <w:sz w:val="32"/>
          <w:szCs w:val="32"/>
        </w:rPr>
        <w:t>奖项说明</w:t>
      </w:r>
    </w:p>
    <w:p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</w:t>
      </w:r>
      <w:r>
        <w:rPr>
          <w:rFonts w:ascii="仿宋" w:hAnsi="仿宋" w:eastAsia="仿宋"/>
          <w:sz w:val="32"/>
          <w:szCs w:val="32"/>
          <w:shd w:val="clear" w:color="auto" w:fill="FFFFFF"/>
        </w:rPr>
        <w:t>主办方将根据来稿数量酌情设置奖项。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获奖者将获得由陕西公共图书馆服务联盟颁发的证书及价值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50元的图书卡。</w:t>
      </w:r>
    </w:p>
    <w:p>
      <w:pPr>
        <w:pStyle w:val="7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获奖名单和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获奖作品将于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评选结束后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在陕</w:t>
      </w:r>
      <w:r>
        <w:rPr>
          <w:rFonts w:hint="eastAsia" w:ascii="仿宋_GB2312" w:hAnsi="仿宋_GB2312" w:eastAsia="仿宋_GB2312" w:cs="仿宋_GB2312"/>
          <w:sz w:val="32"/>
          <w:szCs w:val="32"/>
        </w:rPr>
        <w:t>西省图书馆</w:t>
      </w:r>
      <w:r>
        <w:rPr>
          <w:rFonts w:hint="eastAsia" w:ascii="仿宋" w:hAnsi="仿宋" w:eastAsia="仿宋"/>
          <w:sz w:val="32"/>
          <w:szCs w:val="32"/>
          <w:u w:val="none"/>
          <w:shd w:val="clear" w:color="auto" w:fill="FFFFFF"/>
        </w:rPr>
        <w:t>及陕西公共图书馆服务联盟</w:t>
      </w:r>
      <w:r>
        <w:rPr>
          <w:rFonts w:ascii="仿宋" w:hAnsi="仿宋" w:eastAsia="仿宋"/>
          <w:sz w:val="32"/>
          <w:szCs w:val="32"/>
          <w:u w:val="none"/>
          <w:shd w:val="clear" w:color="auto" w:fill="FFFFFF"/>
        </w:rPr>
        <w:t>官网公布</w:t>
      </w:r>
      <w:r>
        <w:rPr>
          <w:rFonts w:hint="eastAsia" w:ascii="仿宋" w:hAnsi="仿宋" w:eastAsia="仿宋"/>
          <w:sz w:val="32"/>
          <w:szCs w:val="32"/>
          <w:u w:val="none"/>
          <w:shd w:val="clear" w:color="auto" w:fill="FFFFFF"/>
          <w:lang w:eastAsia="zh-CN"/>
        </w:rPr>
        <w:t>并作线上展示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.入选作品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在“陕西省图书馆”官方抖音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账号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或哔哩哔哩平台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发布。</w:t>
      </w:r>
      <w:r>
        <w:rPr>
          <w:rFonts w:hint="eastAsia"/>
        </w:rPr>
        <w:t xml:space="preserve">  </w:t>
      </w:r>
    </w:p>
    <w:p>
      <w:pPr>
        <w:pStyle w:val="9"/>
        <w:spacing w:line="24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五、免责声明</w:t>
      </w:r>
    </w:p>
    <w:p>
      <w:pPr>
        <w:pStyle w:val="9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参加此次活动的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读者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必须提供自己的原创作品，如因以抄袭和盗用他人作品而产生的纠纷，均由该参与者自行负责，陕西省图书馆不负任何责任，抄袭和盗用他人作品一经发现，立即取消其评审资格。</w:t>
      </w:r>
    </w:p>
    <w:p>
      <w:pPr>
        <w:pStyle w:val="9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活动期间内，主办单位有权在保证作者署名权的情况下，使用投稿作品用作本次活动的展示、宣传等传播用途。投稿参与活动即视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作者同意以上声明。</w:t>
      </w:r>
    </w:p>
    <w:p>
      <w:pPr>
        <w:pStyle w:val="7"/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</w:p>
    <w:p>
      <w:pPr>
        <w:pStyle w:val="7"/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</w:p>
    <w:p>
      <w:pPr>
        <w:pStyle w:val="7"/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</w:p>
    <w:p>
      <w:pPr>
        <w:pStyle w:val="7"/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  <w:bookmarkStart w:id="0" w:name="_GoBack"/>
    </w:p>
    <w:p>
      <w:pPr>
        <w:widowControl/>
        <w:spacing w:line="360" w:lineRule="auto"/>
        <w:jc w:val="center"/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  <w:t>“风雨百年路，共铸新辉煌”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--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  <w:t>庆祝建党百年短视频征集活动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信息表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作品时长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电子邮箱（发放奖品）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式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□横版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竖版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作品类别</w:t>
            </w:r>
          </w:p>
        </w:tc>
        <w:tc>
          <w:tcPr>
            <w:tcW w:w="5595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□1.</w:t>
            </w: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eastAsia="zh-CN"/>
              </w:rPr>
              <w:t>推荐红色文献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□2.朗诵红色诗歌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default" w:ascii="仿宋" w:hAnsi="仿宋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□3.演唱红色歌曲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default" w:ascii="仿宋" w:hAnsi="仿宋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□4.讲述动人故事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default" w:ascii="仿宋" w:hAnsi="仿宋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□5.红色书画创作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default" w:ascii="仿宋" w:hAnsi="仿宋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val="en-US" w:eastAsia="zh-CN"/>
              </w:rPr>
              <w:t>□6.展示红色老物件</w:t>
            </w:r>
          </w:p>
          <w:p>
            <w:pPr>
              <w:pStyle w:val="8"/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□7.其它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5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报送单位</w:t>
            </w:r>
          </w:p>
        </w:tc>
        <w:tc>
          <w:tcPr>
            <w:tcW w:w="5595" w:type="dxa"/>
            <w:vAlign w:val="center"/>
          </w:tcPr>
          <w:p>
            <w:pPr>
              <w:pStyle w:val="8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sz w:val="32"/>
              </w:rPr>
              <w:pict>
                <v:line id="_x0000_s1027" o:spid="_x0000_s1027" o:spt="20" style="position:absolute;left:0pt;margin-left:-3.9pt;margin-top:35.4pt;height:0.05pt;width:0.7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4837"/>
    <w:rsid w:val="00276589"/>
    <w:rsid w:val="0048101E"/>
    <w:rsid w:val="006D0A92"/>
    <w:rsid w:val="006D4837"/>
    <w:rsid w:val="007013EF"/>
    <w:rsid w:val="009E7F4F"/>
    <w:rsid w:val="00C53026"/>
    <w:rsid w:val="00E2553C"/>
    <w:rsid w:val="00F16610"/>
    <w:rsid w:val="00F623DB"/>
    <w:rsid w:val="07BA7B39"/>
    <w:rsid w:val="131F0B64"/>
    <w:rsid w:val="1DF81FA6"/>
    <w:rsid w:val="21F31541"/>
    <w:rsid w:val="22B26148"/>
    <w:rsid w:val="22B86274"/>
    <w:rsid w:val="38715CC9"/>
    <w:rsid w:val="408F20B5"/>
    <w:rsid w:val="42245216"/>
    <w:rsid w:val="521B4B90"/>
    <w:rsid w:val="5CAF7B68"/>
    <w:rsid w:val="5EE61A76"/>
    <w:rsid w:val="645502FE"/>
    <w:rsid w:val="6ACD190A"/>
    <w:rsid w:val="71497F17"/>
    <w:rsid w:val="72604916"/>
    <w:rsid w:val="7D0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9">
    <w:name w:val="列出段落1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2021-03-01T06:28:00Z</dcterms:created>
  <dc:creator>ST</dc:creator>
  <cp:lastModifiedBy>常馨</cp:lastModifiedBy>
  <dcterms:modified xsi:type="dcterms:W3CDTF">2021-04-19T02:20:33Z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3512600F8B2045BC8547EB961CC9BA3D</vt:lpwstr>
  </property>
</Properties>
</file>